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63741" w14:textId="3FD7CE0D" w:rsidR="0065530B" w:rsidRPr="003B4029" w:rsidRDefault="003B4029" w:rsidP="003B4029">
      <w:pPr>
        <w:pStyle w:val="Bezmezer"/>
        <w:ind w:left="1" w:hanging="3"/>
        <w:rPr>
          <w:rFonts w:ascii="Minion Pro" w:hAnsi="Minion Pro"/>
          <w:b/>
          <w:sz w:val="32"/>
          <w:szCs w:val="32"/>
        </w:rPr>
      </w:pPr>
      <w:r w:rsidRPr="003B4029">
        <w:rPr>
          <w:rFonts w:ascii="Minion Pro" w:hAnsi="Minion Pro"/>
          <w:b/>
          <w:sz w:val="32"/>
          <w:szCs w:val="32"/>
        </w:rPr>
        <w:t>Novinky z Metodického centra muzejní pedagogiky Moravského zemského muzea</w:t>
      </w:r>
    </w:p>
    <w:p w14:paraId="7C685B9C" w14:textId="77777777" w:rsidR="00E527D4" w:rsidRDefault="00E527D4" w:rsidP="00B641ED">
      <w:pPr>
        <w:pStyle w:val="Bezmezer"/>
        <w:ind w:leftChars="0" w:left="0" w:firstLineChars="0" w:firstLine="0"/>
        <w:rPr>
          <w:rFonts w:ascii="Minion Pro" w:hAnsi="Minion Pro"/>
          <w:sz w:val="24"/>
          <w:szCs w:val="24"/>
        </w:rPr>
      </w:pPr>
    </w:p>
    <w:p w14:paraId="1B62A650" w14:textId="01B13172" w:rsidR="009C52BF" w:rsidRDefault="008F1059" w:rsidP="00B641ED">
      <w:pPr>
        <w:pStyle w:val="Bezmezer"/>
        <w:ind w:leftChars="0" w:left="0" w:firstLineChars="0" w:firstLine="0"/>
        <w:rPr>
          <w:rFonts w:ascii="Minion Pro" w:hAnsi="Minion Pro"/>
          <w:sz w:val="24"/>
          <w:szCs w:val="24"/>
        </w:rPr>
      </w:pPr>
      <w:r w:rsidRPr="0081173D">
        <w:rPr>
          <w:rFonts w:ascii="Minion Pro" w:hAnsi="Minion Pro"/>
          <w:sz w:val="24"/>
          <w:szCs w:val="24"/>
        </w:rPr>
        <w:t xml:space="preserve">V Brně </w:t>
      </w:r>
      <w:r w:rsidR="00F32F99">
        <w:rPr>
          <w:rFonts w:ascii="Minion Pro" w:hAnsi="Minion Pro"/>
          <w:sz w:val="24"/>
          <w:szCs w:val="24"/>
        </w:rPr>
        <w:t>25. 10. 2024</w:t>
      </w:r>
    </w:p>
    <w:p w14:paraId="7AEF2148" w14:textId="77777777" w:rsidR="00B641ED" w:rsidRPr="00F32F99" w:rsidRDefault="00B641ED" w:rsidP="00B641ED">
      <w:pPr>
        <w:pStyle w:val="perex"/>
        <w:jc w:val="both"/>
        <w:rPr>
          <w:rFonts w:ascii="Minion Pro" w:hAnsi="Minion Pro"/>
          <w:b/>
        </w:rPr>
      </w:pPr>
      <w:r w:rsidRPr="00F32F99">
        <w:rPr>
          <w:rFonts w:ascii="Minion Pro" w:hAnsi="Minion Pro"/>
          <w:b/>
        </w:rPr>
        <w:t xml:space="preserve">Metodické centrum muzejní pedagogiky Moravského zemského muzea vydalo na přelomu měsíce září a října </w:t>
      </w:r>
      <w:r>
        <w:rPr>
          <w:rFonts w:ascii="Minion Pro" w:hAnsi="Minion Pro"/>
          <w:b/>
        </w:rPr>
        <w:t xml:space="preserve">2024 </w:t>
      </w:r>
      <w:r w:rsidRPr="00F32F99">
        <w:rPr>
          <w:rFonts w:ascii="Minion Pro" w:hAnsi="Minion Pro"/>
          <w:b/>
        </w:rPr>
        <w:t>dvě recenzované metodiky pro muzejní edukátory a další pracovníky muzeí a galerií.</w:t>
      </w:r>
    </w:p>
    <w:p w14:paraId="42DCC3E9" w14:textId="77777777" w:rsidR="00B641ED" w:rsidRPr="00B641ED" w:rsidRDefault="00B641ED" w:rsidP="00B641ED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  <w:r w:rsidRPr="00B641ED">
        <w:rPr>
          <w:rFonts w:ascii="Minion Pro" w:hAnsi="Minion Pro"/>
          <w:sz w:val="24"/>
          <w:szCs w:val="24"/>
        </w:rPr>
        <w:t xml:space="preserve">Motivovat muzejní edukátory k utřídění si svých myšlenek nad koncepčností vlastní práce a získávání potřebné zpětné vazby k dalšímu rozvoji své práce i profesních kompetencí je cílem metodiky, jejíž autorkou je vedoucí oddělení muzeologie na Ústavu archeologie a muzeologie Filozofické fakulty Masarykovy univerzity Mgr. Lucie Jagošová, DiS, PhD. Evaluace muzejně edukační činnosti muzea a realizace vlastních muzejně edukačních programů patří k nezbytným odborným dovednostem pracovníků muzeí a galerií, kteří se zabývají edukací. Metodika představuje první samostatnou publikaci tohoto typu u nás.  </w:t>
      </w:r>
    </w:p>
    <w:p w14:paraId="2A54AC1F" w14:textId="77777777" w:rsidR="00B641ED" w:rsidRPr="00B641ED" w:rsidRDefault="00B641ED" w:rsidP="00E527D4">
      <w:pPr>
        <w:pStyle w:val="Bezmezer"/>
        <w:ind w:left="-2" w:firstLineChars="0" w:firstLine="0"/>
        <w:jc w:val="both"/>
        <w:rPr>
          <w:rFonts w:ascii="Minion Pro" w:hAnsi="Minion Pro"/>
          <w:sz w:val="24"/>
          <w:szCs w:val="24"/>
        </w:rPr>
      </w:pPr>
      <w:r w:rsidRPr="00B641ED">
        <w:rPr>
          <w:rFonts w:ascii="Minion Pro" w:hAnsi="Minion Pro"/>
          <w:sz w:val="24"/>
          <w:szCs w:val="24"/>
        </w:rPr>
        <w:t xml:space="preserve">Druhá metodika vznikla </w:t>
      </w:r>
      <w:r w:rsidRPr="00B641ED">
        <w:rPr>
          <w:rFonts w:ascii="Minion Pro" w:eastAsia="Times New Roman" w:hAnsi="Minion Pro"/>
          <w:sz w:val="24"/>
          <w:szCs w:val="24"/>
          <w:lang w:eastAsia="cs-CZ"/>
        </w:rPr>
        <w:t>ve spolupráci Mgr. Tomáš Drobného, Ph.D. z Metodického centra muzejní pedagogiky v Moravském zemském muzeu a muzej</w:t>
      </w:r>
      <w:r>
        <w:rPr>
          <w:rFonts w:ascii="Minion Pro" w:eastAsia="Times New Roman" w:hAnsi="Minion Pro"/>
          <w:sz w:val="24"/>
          <w:szCs w:val="24"/>
          <w:lang w:eastAsia="cs-CZ"/>
        </w:rPr>
        <w:t xml:space="preserve">ních edukátorek Muzea Brněnska </w:t>
      </w:r>
      <w:r w:rsidRPr="00B641ED">
        <w:rPr>
          <w:rFonts w:ascii="Minion Pro" w:eastAsia="Times New Roman" w:hAnsi="Minion Pro"/>
          <w:sz w:val="24"/>
          <w:szCs w:val="24"/>
          <w:lang w:eastAsia="cs-CZ"/>
        </w:rPr>
        <w:t xml:space="preserve">a Muzea města Brna. Zaměřuje se na principy muzejní edukace v muzejně zpřístupněných památkách – vilách. „Setkali jsme se s tématem muzejní prezentace památných vil z pohledu profesních zkušeností, které zahrnují jak oblasti vzdělávání v kultuře, památkovou péči, tak utváření historické paměti,“ vysvětluje Drobný. Autoři v textu reflektují jedinečné příležitosti muzejních přístupů při zprostředkování kulturního dědictví, které nabízí nejen trojice slavných vil v rezidenční oblasti jižního svahu Černých Polí v Brně, vily Tugendhat, Löw-Beer a Arnoldovy vily. Metodika zobecňuje specifika muzejní edukace v památných vilách, jichž jsou u nás zpřístupňovány již desítky. Záměrem autorů je poskytnout čtenáři širší vhled do problematiky, upozornit jej na potenciál muzejní edukace a vybavit základními didakticko-metodickými doporučeními. I v tomto případě je metodika první publikací tohoto typu u nás. </w:t>
      </w:r>
    </w:p>
    <w:p w14:paraId="0D5BD903" w14:textId="77777777" w:rsidR="00B641ED" w:rsidRDefault="00B641ED" w:rsidP="00B641ED">
      <w:pPr>
        <w:pStyle w:val="Bezmezer"/>
        <w:ind w:left="0" w:hanging="2"/>
        <w:jc w:val="both"/>
        <w:rPr>
          <w:rFonts w:ascii="Minion Pro" w:hAnsi="Minion Pro"/>
          <w:sz w:val="24"/>
          <w:szCs w:val="24"/>
        </w:rPr>
      </w:pPr>
    </w:p>
    <w:p w14:paraId="17A100F7" w14:textId="77777777" w:rsidR="00B641ED" w:rsidRPr="00B641ED" w:rsidRDefault="00B641ED" w:rsidP="00B641ED">
      <w:pPr>
        <w:pStyle w:val="Bezmezer"/>
        <w:ind w:left="0" w:hanging="2"/>
        <w:rPr>
          <w:rFonts w:ascii="Minion Pro" w:hAnsi="Minion Pro"/>
          <w:sz w:val="24"/>
          <w:szCs w:val="24"/>
        </w:rPr>
      </w:pPr>
      <w:r w:rsidRPr="00B641ED">
        <w:rPr>
          <w:rFonts w:ascii="Minion Pro" w:hAnsi="Minion Pro"/>
          <w:sz w:val="24"/>
          <w:szCs w:val="24"/>
        </w:rPr>
        <w:t>JAGOŠOVÁ, Lucie, 2024. Evaluace v muzejní edukaci: metodické tipy pro reflektivní praxi muzejního pedagoga. Brno - Moravské zemské muzeum. ISBN 978-80-7028-608-1.</w:t>
      </w:r>
    </w:p>
    <w:p w14:paraId="46F0E6D9" w14:textId="77777777" w:rsidR="00B641ED" w:rsidRPr="00B641ED" w:rsidRDefault="00B641ED" w:rsidP="00E527D4">
      <w:pPr>
        <w:pStyle w:val="Bezmezer"/>
        <w:ind w:leftChars="0" w:left="0" w:firstLineChars="0" w:firstLine="0"/>
        <w:rPr>
          <w:rFonts w:ascii="Minion Pro" w:eastAsia="Times New Roman" w:hAnsi="Minion Pro"/>
          <w:sz w:val="24"/>
          <w:szCs w:val="24"/>
          <w:lang w:eastAsia="cs-CZ"/>
        </w:rPr>
      </w:pPr>
      <w:r w:rsidRPr="00B641ED">
        <w:rPr>
          <w:rFonts w:ascii="Minion Pro" w:eastAsia="Times New Roman" w:hAnsi="Minion Pro"/>
          <w:sz w:val="24"/>
          <w:szCs w:val="24"/>
          <w:lang w:eastAsia="cs-CZ"/>
        </w:rPr>
        <w:t>BRHLÍKOVÁ, Markéta, DROBNÝ, Tomáš a Monika MIKULÁŠKOVÁ, 2024. Muzejní edukace v památných vilách. Brno – Moravské zemské muzeum. ISBN 978-80-7028-609-8.</w:t>
      </w:r>
    </w:p>
    <w:p w14:paraId="22D4FC09" w14:textId="77777777" w:rsidR="00B641ED" w:rsidRDefault="00B641ED" w:rsidP="00B641ED">
      <w:pPr>
        <w:pStyle w:val="Bezmezer"/>
        <w:ind w:left="0" w:hanging="2"/>
        <w:rPr>
          <w:rFonts w:ascii="Minion Pro" w:eastAsia="Times New Roman" w:hAnsi="Minion Pro"/>
          <w:sz w:val="24"/>
          <w:szCs w:val="24"/>
          <w:lang w:eastAsia="cs-CZ"/>
        </w:rPr>
      </w:pPr>
    </w:p>
    <w:p w14:paraId="5FD599A5" w14:textId="77777777" w:rsidR="00B641ED" w:rsidRPr="00E527D4" w:rsidRDefault="00B641ED" w:rsidP="00E527D4">
      <w:pPr>
        <w:pStyle w:val="Bezmezer"/>
        <w:ind w:leftChars="0" w:left="0" w:firstLineChars="0" w:firstLine="0"/>
        <w:rPr>
          <w:rFonts w:ascii="Minion Pro" w:eastAsiaTheme="minorHAnsi" w:hAnsi="Minion Pro" w:cstheme="minorBidi"/>
          <w:sz w:val="20"/>
          <w:szCs w:val="20"/>
        </w:rPr>
      </w:pPr>
      <w:r w:rsidRPr="00B641ED">
        <w:rPr>
          <w:rFonts w:ascii="Minion Pro" w:eastAsia="Times New Roman" w:hAnsi="Minion Pro"/>
          <w:sz w:val="24"/>
          <w:szCs w:val="24"/>
          <w:lang w:eastAsia="cs-CZ"/>
        </w:rPr>
        <w:t xml:space="preserve">Metodiky jsou přístupné i on-line na webových stránkách Metodického centra muzejní pedagogiky: </w:t>
      </w:r>
      <w:hyperlink r:id="rId7" w:history="1">
        <w:r w:rsidRPr="00E527D4">
          <w:rPr>
            <w:rStyle w:val="Hypertextovodkaz"/>
            <w:rFonts w:ascii="Minion Pro" w:hAnsi="Minion Pro"/>
            <w:sz w:val="20"/>
            <w:szCs w:val="20"/>
          </w:rPr>
          <w:t>https://www.mcmp.cz/fileadmin/user_upload/o_nas/AKTUALITY/Evaluace_final_web.pdf</w:t>
        </w:r>
      </w:hyperlink>
    </w:p>
    <w:p w14:paraId="20742782" w14:textId="77777777" w:rsidR="00B641ED" w:rsidRPr="00E527D4" w:rsidRDefault="002E3851" w:rsidP="00B641ED">
      <w:pPr>
        <w:pStyle w:val="Bezmezer"/>
        <w:ind w:left="0" w:hanging="2"/>
        <w:rPr>
          <w:rFonts w:ascii="Minion Pro" w:hAnsi="Minion Pro"/>
          <w:sz w:val="20"/>
          <w:szCs w:val="20"/>
        </w:rPr>
      </w:pPr>
      <w:hyperlink r:id="rId8" w:history="1">
        <w:r w:rsidR="00B641ED" w:rsidRPr="00E527D4">
          <w:rPr>
            <w:rStyle w:val="Hypertextovodkaz"/>
            <w:rFonts w:ascii="Minion Pro" w:hAnsi="Minion Pro"/>
            <w:sz w:val="20"/>
            <w:szCs w:val="20"/>
          </w:rPr>
          <w:t>https://www.mcmp.cz/fileadmin/user_upload/vzdelavani/metodicke_texty/Metodika_web_pamatne_vily.pdf</w:t>
        </w:r>
      </w:hyperlink>
      <w:r w:rsidR="00B641ED" w:rsidRPr="00E527D4">
        <w:rPr>
          <w:rStyle w:val="Hypertextovodkaz"/>
          <w:rFonts w:ascii="Minion Pro" w:hAnsi="Minion Pro"/>
          <w:sz w:val="20"/>
          <w:szCs w:val="20"/>
        </w:rPr>
        <w:t xml:space="preserve"> </w:t>
      </w:r>
    </w:p>
    <w:p w14:paraId="0B88A6BC" w14:textId="77777777" w:rsidR="00C60966" w:rsidRDefault="00C60966" w:rsidP="00E527D4">
      <w:pPr>
        <w:pStyle w:val="Bezmezer"/>
        <w:ind w:leftChars="0" w:left="0" w:firstLineChars="0" w:firstLine="0"/>
        <w:rPr>
          <w:rFonts w:ascii="Minion Pro" w:hAnsi="Minion Pro"/>
          <w:sz w:val="24"/>
          <w:szCs w:val="24"/>
        </w:rPr>
      </w:pPr>
    </w:p>
    <w:p w14:paraId="5D8C6FC9" w14:textId="77777777" w:rsidR="00B641ED" w:rsidRPr="00B641ED" w:rsidRDefault="00B641ED" w:rsidP="00B641ED">
      <w:pPr>
        <w:spacing w:after="160" w:line="252" w:lineRule="auto"/>
        <w:ind w:leftChars="0" w:left="0" w:firstLineChars="0" w:firstLine="0"/>
        <w:jc w:val="both"/>
        <w:rPr>
          <w:rFonts w:ascii="Minion Pro" w:eastAsia="Calibri" w:hAnsi="Minion Pro"/>
          <w:sz w:val="24"/>
          <w:szCs w:val="24"/>
          <w:highlight w:val="white"/>
          <w:lang w:eastAsia="en-US"/>
        </w:rPr>
      </w:pPr>
      <w:r w:rsidRPr="00B641ED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14:paraId="6FA9517A" w14:textId="28BB93AE" w:rsidR="00B641ED" w:rsidRDefault="00B641ED" w:rsidP="00B641ED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 xml:space="preserve">Onderková; </w:t>
      </w:r>
      <w:r w:rsidRPr="00714A5A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602 812 682</w:t>
      </w:r>
    </w:p>
    <w:p w14:paraId="0145754D" w14:textId="69C11287" w:rsidR="00B641ED" w:rsidRPr="00141581" w:rsidRDefault="00B641ED" w:rsidP="00141581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B641ED">
        <w:rPr>
          <w:rFonts w:eastAsia="NSimSun"/>
          <w:i/>
          <w:kern w:val="3"/>
          <w:sz w:val="24"/>
          <w:szCs w:val="24"/>
          <w:lang w:eastAsia="zh-CN" w:bidi="hi-IN"/>
        </w:rPr>
        <w:t xml:space="preserve">Mgr. Tomáš Drobný, Ph.D.; </w:t>
      </w:r>
      <w:hyperlink r:id="rId9" w:history="1">
        <w:r w:rsidRPr="00B641ED">
          <w:rPr>
            <w:rFonts w:eastAsia="NSimSun"/>
            <w:i/>
            <w:kern w:val="3"/>
            <w:sz w:val="24"/>
            <w:szCs w:val="24"/>
            <w:lang w:eastAsia="zh-CN" w:bidi="hi-IN"/>
          </w:rPr>
          <w:t>tdrobny@mzm.cz</w:t>
        </w:r>
      </w:hyperlink>
      <w:r>
        <w:rPr>
          <w:rFonts w:eastAsia="NSimSun"/>
          <w:i/>
          <w:kern w:val="3"/>
          <w:sz w:val="24"/>
          <w:szCs w:val="24"/>
          <w:lang w:eastAsia="zh-CN" w:bidi="hi-IN"/>
        </w:rPr>
        <w:t>; tel.</w:t>
      </w:r>
      <w:r w:rsidR="00141581">
        <w:rPr>
          <w:rFonts w:eastAsia="NSimSun"/>
          <w:i/>
          <w:kern w:val="3"/>
          <w:sz w:val="24"/>
          <w:szCs w:val="24"/>
          <w:lang w:eastAsia="zh-CN" w:bidi="hi-IN"/>
        </w:rPr>
        <w:t xml:space="preserve"> 606 033 171</w:t>
      </w:r>
    </w:p>
    <w:p w14:paraId="70897491" w14:textId="77777777" w:rsidR="00B641ED" w:rsidRPr="00F32F99" w:rsidRDefault="00B641ED" w:rsidP="00B641ED">
      <w:pPr>
        <w:pStyle w:val="perex"/>
        <w:jc w:val="both"/>
        <w:rPr>
          <w:rFonts w:ascii="Minion Pro" w:hAnsi="Minion Pro"/>
        </w:rPr>
      </w:pPr>
      <w:bookmarkStart w:id="0" w:name="_GoBack"/>
    </w:p>
    <w:bookmarkEnd w:id="0"/>
    <w:p w14:paraId="5D60CF8D" w14:textId="74724510" w:rsidR="00F32F99" w:rsidRPr="00F32F99" w:rsidRDefault="00F32F99" w:rsidP="00B641ED">
      <w:pPr>
        <w:pStyle w:val="Bezmezer"/>
        <w:ind w:left="0" w:hanging="2"/>
        <w:jc w:val="both"/>
        <w:rPr>
          <w:rFonts w:ascii="Minion Pro" w:eastAsia="Times New Roman" w:hAnsi="Minion Pro"/>
          <w:sz w:val="24"/>
          <w:szCs w:val="24"/>
          <w:lang w:eastAsia="cs-CZ"/>
        </w:rPr>
      </w:pPr>
    </w:p>
    <w:p w14:paraId="2BC20433" w14:textId="77777777" w:rsidR="00F32F99" w:rsidRPr="00F32F99" w:rsidRDefault="00F32F99" w:rsidP="00B641ED">
      <w:pPr>
        <w:pStyle w:val="perex"/>
        <w:jc w:val="both"/>
        <w:rPr>
          <w:rFonts w:ascii="Minion Pro" w:hAnsi="Minion Pro"/>
        </w:rPr>
      </w:pPr>
    </w:p>
    <w:p w14:paraId="15D91729" w14:textId="77777777" w:rsidR="00A82B62" w:rsidRPr="00550C85" w:rsidRDefault="00A82B62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sectPr w:rsidR="00A82B62" w:rsidRPr="00550C85">
      <w:headerReference w:type="default" r:id="rId10"/>
      <w:footerReference w:type="default" r:id="rId11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50DD3" w14:textId="77777777" w:rsidR="002E3851" w:rsidRDefault="002E3851">
      <w:pPr>
        <w:spacing w:line="240" w:lineRule="auto"/>
        <w:ind w:left="0" w:hanging="2"/>
      </w:pPr>
      <w:r>
        <w:separator/>
      </w:r>
    </w:p>
  </w:endnote>
  <w:endnote w:type="continuationSeparator" w:id="0">
    <w:p w14:paraId="16A39D6B" w14:textId="77777777" w:rsidR="002E3851" w:rsidRDefault="002E38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62A02" w14:textId="77777777"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5F6051E" wp14:editId="6A2F0B77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1966712" w14:textId="77777777" w:rsidR="00787A91" w:rsidRDefault="002E38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972C8" w14:textId="77777777" w:rsidR="002E3851" w:rsidRDefault="002E3851">
      <w:pPr>
        <w:spacing w:line="240" w:lineRule="auto"/>
        <w:ind w:left="0" w:hanging="2"/>
      </w:pPr>
      <w:r>
        <w:separator/>
      </w:r>
    </w:p>
  </w:footnote>
  <w:footnote w:type="continuationSeparator" w:id="0">
    <w:p w14:paraId="35C24886" w14:textId="77777777" w:rsidR="002E3851" w:rsidRDefault="002E38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2366D" w14:textId="77777777"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95B4A61" wp14:editId="7E4130B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91"/>
    <w:rsid w:val="000010BC"/>
    <w:rsid w:val="00033FA4"/>
    <w:rsid w:val="00043F4F"/>
    <w:rsid w:val="00072AB1"/>
    <w:rsid w:val="000730F9"/>
    <w:rsid w:val="000761D0"/>
    <w:rsid w:val="0007717C"/>
    <w:rsid w:val="00082B1C"/>
    <w:rsid w:val="000B1ACC"/>
    <w:rsid w:val="000E622C"/>
    <w:rsid w:val="00141581"/>
    <w:rsid w:val="00167DB9"/>
    <w:rsid w:val="001750DE"/>
    <w:rsid w:val="001C20C9"/>
    <w:rsid w:val="001F0341"/>
    <w:rsid w:val="002068C7"/>
    <w:rsid w:val="00224C23"/>
    <w:rsid w:val="00246BA7"/>
    <w:rsid w:val="0028277D"/>
    <w:rsid w:val="002911E2"/>
    <w:rsid w:val="002A7223"/>
    <w:rsid w:val="002B08A9"/>
    <w:rsid w:val="002C404A"/>
    <w:rsid w:val="002D05CE"/>
    <w:rsid w:val="002E3851"/>
    <w:rsid w:val="002E4B93"/>
    <w:rsid w:val="00303C1A"/>
    <w:rsid w:val="00336932"/>
    <w:rsid w:val="0034043A"/>
    <w:rsid w:val="0034791D"/>
    <w:rsid w:val="003521A2"/>
    <w:rsid w:val="00352B4B"/>
    <w:rsid w:val="003562D5"/>
    <w:rsid w:val="00366ACB"/>
    <w:rsid w:val="003977B1"/>
    <w:rsid w:val="003A54A1"/>
    <w:rsid w:val="003B1F9C"/>
    <w:rsid w:val="003B4029"/>
    <w:rsid w:val="003D5F43"/>
    <w:rsid w:val="003E2B5B"/>
    <w:rsid w:val="004148E9"/>
    <w:rsid w:val="00417B0E"/>
    <w:rsid w:val="00423842"/>
    <w:rsid w:val="00426C2B"/>
    <w:rsid w:val="004309E1"/>
    <w:rsid w:val="00437B4B"/>
    <w:rsid w:val="00473189"/>
    <w:rsid w:val="00473812"/>
    <w:rsid w:val="00474038"/>
    <w:rsid w:val="00474A03"/>
    <w:rsid w:val="004E3E8D"/>
    <w:rsid w:val="00506B86"/>
    <w:rsid w:val="005150BC"/>
    <w:rsid w:val="00532AE5"/>
    <w:rsid w:val="00537765"/>
    <w:rsid w:val="00550C85"/>
    <w:rsid w:val="005517B6"/>
    <w:rsid w:val="00560B15"/>
    <w:rsid w:val="00575ADB"/>
    <w:rsid w:val="005803FD"/>
    <w:rsid w:val="005832DE"/>
    <w:rsid w:val="00590384"/>
    <w:rsid w:val="005A4FA5"/>
    <w:rsid w:val="005A5BD8"/>
    <w:rsid w:val="005A6B2B"/>
    <w:rsid w:val="005F03D0"/>
    <w:rsid w:val="0062559F"/>
    <w:rsid w:val="00647964"/>
    <w:rsid w:val="0065530B"/>
    <w:rsid w:val="00670DF4"/>
    <w:rsid w:val="00694C97"/>
    <w:rsid w:val="006C0F31"/>
    <w:rsid w:val="006E5472"/>
    <w:rsid w:val="0070142D"/>
    <w:rsid w:val="007037F5"/>
    <w:rsid w:val="00714A5A"/>
    <w:rsid w:val="00715927"/>
    <w:rsid w:val="0073315A"/>
    <w:rsid w:val="00753C72"/>
    <w:rsid w:val="0075492B"/>
    <w:rsid w:val="00766DFD"/>
    <w:rsid w:val="00787A91"/>
    <w:rsid w:val="007A1DAC"/>
    <w:rsid w:val="007A35EE"/>
    <w:rsid w:val="007B723E"/>
    <w:rsid w:val="007C206B"/>
    <w:rsid w:val="007D4E85"/>
    <w:rsid w:val="0080187F"/>
    <w:rsid w:val="00810896"/>
    <w:rsid w:val="0081173D"/>
    <w:rsid w:val="00847FE0"/>
    <w:rsid w:val="0085499D"/>
    <w:rsid w:val="00856745"/>
    <w:rsid w:val="00865B6C"/>
    <w:rsid w:val="008849E0"/>
    <w:rsid w:val="008F1059"/>
    <w:rsid w:val="0096036E"/>
    <w:rsid w:val="00974671"/>
    <w:rsid w:val="0097707A"/>
    <w:rsid w:val="00977AD0"/>
    <w:rsid w:val="009B00A7"/>
    <w:rsid w:val="009B2858"/>
    <w:rsid w:val="009C3FD1"/>
    <w:rsid w:val="009C52BF"/>
    <w:rsid w:val="00A0428A"/>
    <w:rsid w:val="00A212F1"/>
    <w:rsid w:val="00A56BA4"/>
    <w:rsid w:val="00A57D77"/>
    <w:rsid w:val="00A74750"/>
    <w:rsid w:val="00A82B62"/>
    <w:rsid w:val="00AD4949"/>
    <w:rsid w:val="00AD7FC3"/>
    <w:rsid w:val="00B24FD1"/>
    <w:rsid w:val="00B3285C"/>
    <w:rsid w:val="00B32977"/>
    <w:rsid w:val="00B630FE"/>
    <w:rsid w:val="00B641ED"/>
    <w:rsid w:val="00B758F4"/>
    <w:rsid w:val="00B80A7D"/>
    <w:rsid w:val="00B84968"/>
    <w:rsid w:val="00BA6207"/>
    <w:rsid w:val="00BF6333"/>
    <w:rsid w:val="00C31E6E"/>
    <w:rsid w:val="00C60966"/>
    <w:rsid w:val="00C8475F"/>
    <w:rsid w:val="00C96021"/>
    <w:rsid w:val="00CC2CF6"/>
    <w:rsid w:val="00CC78F8"/>
    <w:rsid w:val="00D06CC3"/>
    <w:rsid w:val="00D15CC3"/>
    <w:rsid w:val="00D54A35"/>
    <w:rsid w:val="00D673A6"/>
    <w:rsid w:val="00D700B1"/>
    <w:rsid w:val="00D97D40"/>
    <w:rsid w:val="00DA6555"/>
    <w:rsid w:val="00DB64A9"/>
    <w:rsid w:val="00DD583B"/>
    <w:rsid w:val="00DE041E"/>
    <w:rsid w:val="00E02E39"/>
    <w:rsid w:val="00E35563"/>
    <w:rsid w:val="00E527D4"/>
    <w:rsid w:val="00E62C2E"/>
    <w:rsid w:val="00E65DC7"/>
    <w:rsid w:val="00E67783"/>
    <w:rsid w:val="00EA554B"/>
    <w:rsid w:val="00EC0C23"/>
    <w:rsid w:val="00EC7AD4"/>
    <w:rsid w:val="00ED77C3"/>
    <w:rsid w:val="00F32F99"/>
    <w:rsid w:val="00F41603"/>
    <w:rsid w:val="00F54FBA"/>
    <w:rsid w:val="00F5792F"/>
    <w:rsid w:val="00F668C3"/>
    <w:rsid w:val="00F9226D"/>
    <w:rsid w:val="00FA4464"/>
    <w:rsid w:val="00FA4A1C"/>
    <w:rsid w:val="00FB2328"/>
    <w:rsid w:val="00FB5F74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BF71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D583B"/>
    <w:rPr>
      <w:color w:val="605E5C"/>
      <w:shd w:val="clear" w:color="auto" w:fill="E1DFDD"/>
    </w:rPr>
  </w:style>
  <w:style w:type="paragraph" w:customStyle="1" w:styleId="perex">
    <w:name w:val="perex"/>
    <w:basedOn w:val="Normln"/>
    <w:rsid w:val="00F32F9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mp.cz/fileadmin/user_upload/vzdelavani/metodicke_texty/Metodika_web_pamatne_vil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cmp.cz/fileadmin/user_upload/o_nas/AKTUALITY/Evaluace_final_web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drobny@mz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bonderkova</cp:lastModifiedBy>
  <cp:revision>7</cp:revision>
  <cp:lastPrinted>2022-08-09T07:51:00Z</cp:lastPrinted>
  <dcterms:created xsi:type="dcterms:W3CDTF">2024-10-24T10:04:00Z</dcterms:created>
  <dcterms:modified xsi:type="dcterms:W3CDTF">2024-10-29T14:06:00Z</dcterms:modified>
</cp:coreProperties>
</file>